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42" w:type="dxa"/>
        <w:tblLayout w:type="fixed"/>
        <w:tblLook w:val="04A0" w:firstRow="1" w:lastRow="0" w:firstColumn="1" w:lastColumn="0" w:noHBand="0" w:noVBand="1"/>
      </w:tblPr>
      <w:tblGrid>
        <w:gridCol w:w="2438"/>
        <w:gridCol w:w="6406"/>
      </w:tblGrid>
      <w:tr w:rsidR="00CE544A" w:rsidRPr="00975B07" w:rsidTr="008F5DA1">
        <w:tc>
          <w:tcPr>
            <w:tcW w:w="2438" w:type="dxa"/>
            <w:shd w:val="clear" w:color="auto" w:fill="auto"/>
          </w:tcPr>
          <w:p w:rsidR="008F5DA1" w:rsidRDefault="008F5DA1" w:rsidP="004A6D2F">
            <w:pPr>
              <w:rPr>
                <w:rStyle w:val="Firstpagetablebold"/>
              </w:rPr>
            </w:pPr>
          </w:p>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8F5DA1" w:rsidRDefault="008F5DA1" w:rsidP="004A6D2F">
            <w:pPr>
              <w:rPr>
                <w:rStyle w:val="Firstpagetablebold"/>
              </w:rPr>
            </w:pPr>
          </w:p>
          <w:p w:rsidR="00F445B1" w:rsidRPr="00F95BC9" w:rsidRDefault="00F445B1" w:rsidP="004A6D2F">
            <w:pPr>
              <w:rPr>
                <w:rStyle w:val="Firstpagetablebold"/>
              </w:rPr>
            </w:pPr>
            <w:r w:rsidRPr="00F95BC9">
              <w:rPr>
                <w:rStyle w:val="Firstpagetablebold"/>
              </w:rPr>
              <w:t>City Executive Board</w:t>
            </w:r>
          </w:p>
        </w:tc>
      </w:tr>
      <w:tr w:rsidR="00CE544A" w:rsidRPr="00975B07" w:rsidTr="008F5DA1">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E6E8C" w:rsidP="005D0621">
            <w:pPr>
              <w:rPr>
                <w:b/>
              </w:rPr>
            </w:pPr>
            <w:r>
              <w:rPr>
                <w:rStyle w:val="Firstpagetablebold"/>
              </w:rPr>
              <w:t>15 August</w:t>
            </w:r>
            <w:r w:rsidR="00A3247D">
              <w:rPr>
                <w:rStyle w:val="Firstpagetablebold"/>
              </w:rPr>
              <w:t xml:space="preserve"> 2017</w:t>
            </w:r>
          </w:p>
        </w:tc>
      </w:tr>
      <w:tr w:rsidR="00CE544A" w:rsidRPr="00975B07" w:rsidTr="008F5DA1">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3247D" w:rsidP="004A6D2F">
            <w:pPr>
              <w:rPr>
                <w:rStyle w:val="Firstpagetablebold"/>
              </w:rPr>
            </w:pPr>
            <w:r>
              <w:rPr>
                <w:rStyle w:val="Firstpagetablebold"/>
              </w:rPr>
              <w:t>Head of Planning</w:t>
            </w:r>
            <w:r w:rsidR="00F37B16">
              <w:rPr>
                <w:rStyle w:val="Firstpagetablebold"/>
              </w:rPr>
              <w:t>, Sustainable Development</w:t>
            </w:r>
            <w:r>
              <w:rPr>
                <w:rStyle w:val="Firstpagetablebold"/>
              </w:rPr>
              <w:t xml:space="preserve"> and Regulatory Services</w:t>
            </w:r>
          </w:p>
        </w:tc>
      </w:tr>
      <w:tr w:rsidR="00CE544A" w:rsidRPr="00975B07" w:rsidTr="008F5DA1">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60795" w:rsidP="004A6D2F">
            <w:pPr>
              <w:rPr>
                <w:rStyle w:val="Firstpagetablebold"/>
              </w:rPr>
            </w:pPr>
            <w:r>
              <w:rPr>
                <w:rStyle w:val="Firstpagetablebold"/>
              </w:rPr>
              <w:t>Littlemore Neighbourhood</w:t>
            </w:r>
            <w:r w:rsidR="00A3247D">
              <w:rPr>
                <w:rStyle w:val="Firstpagetablebold"/>
              </w:rPr>
              <w:t xml:space="preserve"> Area </w:t>
            </w:r>
            <w:r>
              <w:rPr>
                <w:rStyle w:val="Firstpagetablebold"/>
              </w:rPr>
              <w:t>Application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3247D" w:rsidP="00123EC2">
            <w:r w:rsidRPr="00A3247D">
              <w:t>To designate t</w:t>
            </w:r>
            <w:r w:rsidR="008858D3">
              <w:t>he Littlemore Neighbourhood A</w:t>
            </w:r>
            <w:r w:rsidR="00123EC2">
              <w:t>rea</w:t>
            </w:r>
            <w:r w:rsidR="006D6518">
              <w:t xml:space="preserve"> for the purpose of delivering a Neighbourhood Plan</w:t>
            </w:r>
            <w:r w:rsidR="00123EC2">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A3247D">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A3247D" w:rsidP="00A3247D">
            <w:r>
              <w:t>Councillor Alex Hollingsworth, Board Member for Planning</w:t>
            </w:r>
            <w:r w:rsidR="00060795">
              <w:t>, Sustainable Development</w:t>
            </w:r>
            <w:r>
              <w:t xml:space="preserve">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B7828"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23EC2" w:rsidP="008858D3">
            <w:r>
              <w:t>The designation of a neighbourhood area is the first step in producing a neighbourhood plan. When adopt</w:t>
            </w:r>
            <w:r w:rsidR="00196F31">
              <w:t>ed</w:t>
            </w:r>
            <w:r w:rsidR="005E6E8C">
              <w:t>, neighbourhood plans</w:t>
            </w:r>
            <w:r>
              <w:t xml:space="preserve"> </w:t>
            </w:r>
            <w:r w:rsidR="005E6E8C">
              <w:t xml:space="preserve">will </w:t>
            </w:r>
            <w:r>
              <w:t xml:space="preserve">form part of the </w:t>
            </w:r>
            <w:r w:rsidR="00196F31">
              <w:t>planning policy framework for the area and will be used in the determination of planning applications.</w:t>
            </w:r>
          </w:p>
        </w:tc>
      </w:tr>
      <w:tr w:rsidR="005F7F7E" w:rsidRPr="00975B07" w:rsidTr="00A46E98">
        <w:trPr>
          <w:trHeight w:val="413"/>
        </w:trPr>
        <w:tc>
          <w:tcPr>
            <w:tcW w:w="8845" w:type="dxa"/>
            <w:gridSpan w:val="3"/>
            <w:tcBorders>
              <w:bottom w:val="single" w:sz="8" w:space="0" w:color="000000"/>
            </w:tcBorders>
          </w:tcPr>
          <w:p w:rsidR="005F7F7E" w:rsidRPr="00975B07" w:rsidRDefault="00123EC2" w:rsidP="004A6D2F">
            <w:r>
              <w:rPr>
                <w:rStyle w:val="Firstpagetablebold"/>
              </w:rPr>
              <w:t xml:space="preserve"> </w:t>
            </w:r>
            <w:r w:rsidR="005F7F7E">
              <w:rPr>
                <w:rStyle w:val="Firstpagetablebold"/>
              </w:rPr>
              <w:t>Recommendation(s):That the City Executive Board resolves to:</w:t>
            </w:r>
          </w:p>
        </w:tc>
      </w:tr>
      <w:tr w:rsidR="0030208D" w:rsidRPr="00975B07" w:rsidTr="00196F31">
        <w:trPr>
          <w:trHeight w:val="281"/>
        </w:trPr>
        <w:tc>
          <w:tcPr>
            <w:tcW w:w="426" w:type="dxa"/>
            <w:tcBorders>
              <w:top w:val="single" w:sz="8" w:space="0" w:color="000000"/>
              <w:left w:val="single" w:sz="8" w:space="0" w:color="000000"/>
              <w:bottom w:val="single" w:sz="8" w:space="0" w:color="000000"/>
              <w:right w:val="nil"/>
            </w:tcBorders>
          </w:tcPr>
          <w:p w:rsidR="0030208D" w:rsidRPr="00975B07" w:rsidRDefault="00046D2B" w:rsidP="00196F31">
            <w:pPr>
              <w:spacing w:before="120"/>
            </w:pPr>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rsidR="0030208D" w:rsidRPr="001356F1" w:rsidRDefault="00196F31" w:rsidP="00196F31">
            <w:pPr>
              <w:spacing w:before="120"/>
            </w:pPr>
            <w:r>
              <w:t>Des</w:t>
            </w:r>
            <w:r w:rsidR="008858D3">
              <w:t>ignate the proposed Littlemore Neighbourhood A</w:t>
            </w:r>
            <w:r>
              <w:t>rea</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196F31" w:rsidRPr="001356F1" w:rsidRDefault="008858D3" w:rsidP="004A6D2F">
            <w:r>
              <w:t>P</w:t>
            </w:r>
            <w:r w:rsidR="00196F31">
              <w:t xml:space="preserve">roposed </w:t>
            </w:r>
            <w:r w:rsidR="00E12CDA">
              <w:t xml:space="preserve">neighbourhood </w:t>
            </w:r>
            <w:r w:rsidR="00196F31">
              <w:t>area boundary</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96F31" w:rsidP="008858D3">
            <w:r>
              <w:t>Littlemore Parish Council’s rational</w:t>
            </w:r>
            <w:r w:rsidR="006958A8">
              <w:t>e</w:t>
            </w:r>
            <w:r>
              <w:t xml:space="preserve"> for the</w:t>
            </w:r>
            <w:r w:rsidR="008858D3">
              <w:t xml:space="preserve"> proposed</w:t>
            </w:r>
            <w:r>
              <w:t xml:space="preserve"> neighbourhood area</w:t>
            </w:r>
          </w:p>
        </w:tc>
      </w:tr>
      <w:tr w:rsidR="006C59B0" w:rsidRPr="00975B07" w:rsidTr="00A46E98">
        <w:tc>
          <w:tcPr>
            <w:tcW w:w="2438" w:type="dxa"/>
            <w:tcBorders>
              <w:top w:val="nil"/>
              <w:left w:val="single" w:sz="8" w:space="0" w:color="000000"/>
              <w:bottom w:val="nil"/>
              <w:right w:val="nil"/>
            </w:tcBorders>
            <w:shd w:val="clear" w:color="auto" w:fill="auto"/>
          </w:tcPr>
          <w:p w:rsidR="006C59B0" w:rsidRPr="00975B07" w:rsidRDefault="006C59B0" w:rsidP="004A6D2F">
            <w:r>
              <w:t>Appendix 3</w:t>
            </w:r>
          </w:p>
        </w:tc>
        <w:tc>
          <w:tcPr>
            <w:tcW w:w="6406" w:type="dxa"/>
            <w:tcBorders>
              <w:top w:val="nil"/>
              <w:left w:val="nil"/>
              <w:bottom w:val="nil"/>
              <w:right w:val="single" w:sz="8" w:space="0" w:color="000000"/>
            </w:tcBorders>
          </w:tcPr>
          <w:p w:rsidR="006C59B0" w:rsidRDefault="008858D3" w:rsidP="004A6D2F">
            <w:r>
              <w:t xml:space="preserve">Littlemore Parish Council’s </w:t>
            </w:r>
            <w:r w:rsidR="00060795">
              <w:t>relevant body s</w:t>
            </w:r>
            <w:r w:rsidR="006C59B0">
              <w:t>tatement</w:t>
            </w:r>
          </w:p>
        </w:tc>
      </w:tr>
      <w:tr w:rsidR="0030208D" w:rsidRPr="00975B07" w:rsidTr="00196F31">
        <w:tc>
          <w:tcPr>
            <w:tcW w:w="2438" w:type="dxa"/>
            <w:tcBorders>
              <w:top w:val="nil"/>
              <w:left w:val="single" w:sz="8" w:space="0" w:color="000000"/>
              <w:bottom w:val="single" w:sz="8" w:space="0" w:color="000000"/>
              <w:right w:val="nil"/>
            </w:tcBorders>
            <w:shd w:val="clear" w:color="auto" w:fill="auto"/>
          </w:tcPr>
          <w:p w:rsidR="002D61C4" w:rsidRPr="00975B07" w:rsidRDefault="0030208D" w:rsidP="004A6D2F">
            <w:r w:rsidRPr="00975B07">
              <w:t xml:space="preserve">Appendix </w:t>
            </w:r>
            <w:r w:rsidR="006C59B0">
              <w:t>4</w:t>
            </w:r>
          </w:p>
        </w:tc>
        <w:tc>
          <w:tcPr>
            <w:tcW w:w="6406" w:type="dxa"/>
            <w:tcBorders>
              <w:top w:val="nil"/>
              <w:left w:val="nil"/>
              <w:bottom w:val="single" w:sz="8" w:space="0" w:color="000000"/>
              <w:right w:val="single" w:sz="8" w:space="0" w:color="000000"/>
            </w:tcBorders>
          </w:tcPr>
          <w:p w:rsidR="00C1609D" w:rsidRPr="001356F1" w:rsidRDefault="00060795" w:rsidP="004A6D2F">
            <w:r>
              <w:t>Risk a</w:t>
            </w:r>
            <w:r w:rsidR="002D61C4">
              <w:t>ssessment</w:t>
            </w:r>
            <w:r w:rsidR="002D61C4" w:rsidRPr="001356F1">
              <w:t xml:space="preserv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0D25F3" w:rsidRPr="000D25F3" w:rsidRDefault="000D25F3" w:rsidP="005570B5">
      <w:pPr>
        <w:pStyle w:val="ListParagraph"/>
      </w:pPr>
      <w:r>
        <w:rPr>
          <w:color w:val="auto"/>
          <w:lang w:eastAsia="en-US"/>
        </w:rPr>
        <w:t>The Localism Act</w:t>
      </w:r>
      <w:r w:rsidR="00F37B16">
        <w:rPr>
          <w:color w:val="auto"/>
          <w:lang w:eastAsia="en-US"/>
        </w:rPr>
        <w:t xml:space="preserve"> 2011</w:t>
      </w:r>
      <w:r w:rsidRPr="000D25F3">
        <w:rPr>
          <w:color w:val="auto"/>
          <w:lang w:eastAsia="en-US"/>
        </w:rPr>
        <w:t xml:space="preserve"> introduced rights and pow</w:t>
      </w:r>
      <w:r>
        <w:rPr>
          <w:color w:val="auto"/>
          <w:lang w:eastAsia="en-US"/>
        </w:rPr>
        <w:t>ers to enable communities to be</w:t>
      </w:r>
      <w:r w:rsidRPr="000D25F3">
        <w:rPr>
          <w:color w:val="auto"/>
          <w:lang w:eastAsia="en-US"/>
        </w:rPr>
        <w:t xml:space="preserve"> directly involved in planning for their areas</w:t>
      </w:r>
      <w:r w:rsidR="005E6E8C">
        <w:rPr>
          <w:color w:val="auto"/>
          <w:lang w:eastAsia="en-US"/>
        </w:rPr>
        <w:t xml:space="preserve"> through the production of neighbourhood plans</w:t>
      </w:r>
      <w:r w:rsidRPr="000D25F3">
        <w:rPr>
          <w:color w:val="auto"/>
          <w:lang w:eastAsia="en-US"/>
        </w:rPr>
        <w:t>.</w:t>
      </w:r>
      <w:r>
        <w:rPr>
          <w:color w:val="auto"/>
          <w:lang w:eastAsia="en-US"/>
        </w:rPr>
        <w:t xml:space="preserve"> Producing neighbourhood plans allows communities to develop a shared vision for their area and to shape future growth. When a </w:t>
      </w:r>
      <w:r>
        <w:rPr>
          <w:color w:val="auto"/>
          <w:lang w:eastAsia="en-US"/>
        </w:rPr>
        <w:lastRenderedPageBreak/>
        <w:t>neighbourhood</w:t>
      </w:r>
      <w:r w:rsidRPr="000D25F3">
        <w:rPr>
          <w:color w:val="auto"/>
          <w:lang w:eastAsia="en-US"/>
        </w:rPr>
        <w:t xml:space="preserve"> plan</w:t>
      </w:r>
      <w:r>
        <w:rPr>
          <w:color w:val="auto"/>
          <w:lang w:eastAsia="en-US"/>
        </w:rPr>
        <w:t xml:space="preserve"> is</w:t>
      </w:r>
      <w:r w:rsidRPr="000D25F3">
        <w:rPr>
          <w:color w:val="auto"/>
          <w:lang w:eastAsia="en-US"/>
        </w:rPr>
        <w:t xml:space="preserve"> adopted</w:t>
      </w:r>
      <w:r>
        <w:rPr>
          <w:color w:val="auto"/>
          <w:lang w:eastAsia="en-US"/>
        </w:rPr>
        <w:t xml:space="preserve"> it</w:t>
      </w:r>
      <w:r w:rsidRPr="000D25F3">
        <w:rPr>
          <w:color w:val="auto"/>
          <w:lang w:eastAsia="en-US"/>
        </w:rPr>
        <w:t xml:space="preserve"> become</w:t>
      </w:r>
      <w:r>
        <w:rPr>
          <w:color w:val="auto"/>
          <w:lang w:eastAsia="en-US"/>
        </w:rPr>
        <w:t>s</w:t>
      </w:r>
      <w:r w:rsidRPr="000D25F3">
        <w:rPr>
          <w:color w:val="auto"/>
          <w:lang w:eastAsia="en-US"/>
        </w:rPr>
        <w:t xml:space="preserve"> part of</w:t>
      </w:r>
      <w:r>
        <w:rPr>
          <w:color w:val="auto"/>
          <w:lang w:eastAsia="en-US"/>
        </w:rPr>
        <w:t xml:space="preserve"> the statutory development plan</w:t>
      </w:r>
      <w:r w:rsidRPr="000D25F3">
        <w:rPr>
          <w:color w:val="auto"/>
          <w:lang w:eastAsia="en-US"/>
        </w:rPr>
        <w:t xml:space="preserve"> </w:t>
      </w:r>
      <w:r w:rsidR="00EB7828">
        <w:rPr>
          <w:color w:val="auto"/>
          <w:lang w:eastAsia="en-US"/>
        </w:rPr>
        <w:t xml:space="preserve">for the area </w:t>
      </w:r>
      <w:r w:rsidRPr="000D25F3">
        <w:rPr>
          <w:color w:val="auto"/>
          <w:lang w:eastAsia="en-US"/>
        </w:rPr>
        <w:t xml:space="preserve">and </w:t>
      </w:r>
      <w:r w:rsidR="002A07FF">
        <w:rPr>
          <w:color w:val="auto"/>
          <w:lang w:eastAsia="en-US"/>
        </w:rPr>
        <w:t>is</w:t>
      </w:r>
      <w:r>
        <w:rPr>
          <w:color w:val="auto"/>
          <w:lang w:eastAsia="en-US"/>
        </w:rPr>
        <w:t xml:space="preserve"> </w:t>
      </w:r>
      <w:r w:rsidRPr="000D25F3">
        <w:rPr>
          <w:color w:val="auto"/>
          <w:lang w:eastAsia="en-US"/>
        </w:rPr>
        <w:t>an important consideration when making decisions on planning applications.</w:t>
      </w:r>
      <w:r w:rsidR="005E6E8C">
        <w:rPr>
          <w:color w:val="auto"/>
          <w:lang w:eastAsia="en-US"/>
        </w:rPr>
        <w:t xml:space="preserve"> </w:t>
      </w:r>
    </w:p>
    <w:p w:rsidR="00E12CDA" w:rsidRDefault="006958A8" w:rsidP="00E12CDA">
      <w:pPr>
        <w:pStyle w:val="ListParagraph"/>
      </w:pPr>
      <w:r>
        <w:t>Littlemore Parish Council</w:t>
      </w:r>
      <w:r w:rsidR="000C63B7">
        <w:t xml:space="preserve"> </w:t>
      </w:r>
      <w:r w:rsidR="005E6E8C">
        <w:t>intends to produce a</w:t>
      </w:r>
      <w:r>
        <w:t xml:space="preserve"> neighbourhood plan</w:t>
      </w:r>
      <w:r w:rsidR="00EB7828">
        <w:t>.</w:t>
      </w:r>
      <w:r w:rsidR="00E36868">
        <w:t xml:space="preserve"> </w:t>
      </w:r>
      <w:r>
        <w:t>The first step in this process is to decide the a</w:t>
      </w:r>
      <w:r w:rsidR="002A07FF">
        <w:t>rea that th</w:t>
      </w:r>
      <w:r w:rsidR="000C63B7">
        <w:t>e neighbourhood plan will cover</w:t>
      </w:r>
      <w:r w:rsidR="00DF5A87">
        <w:t>. T</w:t>
      </w:r>
      <w:r w:rsidR="000C63B7">
        <w:t>his is</w:t>
      </w:r>
      <w:r w:rsidR="002A07FF">
        <w:t xml:space="preserve"> known as </w:t>
      </w:r>
      <w:r>
        <w:t>the neighbourhood area</w:t>
      </w:r>
      <w:r w:rsidR="00E12CDA">
        <w:t>. Littlemore Parish Council has</w:t>
      </w:r>
      <w:r>
        <w:t xml:space="preserve"> proposed that the </w:t>
      </w:r>
      <w:r w:rsidR="005E6E8C">
        <w:t>neighbourhood area follows the Littlemore parish</w:t>
      </w:r>
      <w:r>
        <w:t xml:space="preserve"> bounda</w:t>
      </w:r>
      <w:r w:rsidR="00542C37">
        <w:t>ry</w:t>
      </w:r>
      <w:r w:rsidR="005E6E8C">
        <w:t xml:space="preserve"> exactly, to include the whole parish area</w:t>
      </w:r>
      <w:r w:rsidR="00E36868">
        <w:t xml:space="preserve"> (see Appendix 1).</w:t>
      </w:r>
    </w:p>
    <w:p w:rsidR="000B7463" w:rsidRDefault="000B7463" w:rsidP="000223CA">
      <w:pPr>
        <w:pStyle w:val="ListParagraph"/>
      </w:pPr>
      <w:r>
        <w:rPr>
          <w:color w:val="auto"/>
          <w:lang w:eastAsia="en-US"/>
        </w:rPr>
        <w:t xml:space="preserve">It is </w:t>
      </w:r>
      <w:r w:rsidR="009970BB">
        <w:rPr>
          <w:color w:val="auto"/>
          <w:lang w:eastAsia="en-US"/>
        </w:rPr>
        <w:t xml:space="preserve">a legal requirement </w:t>
      </w:r>
      <w:r>
        <w:rPr>
          <w:color w:val="auto"/>
          <w:lang w:eastAsia="en-US"/>
        </w:rPr>
        <w:t>that neighbourhood plans are in general conformity with the strategic policies in the Local Plan. The City Council is working on producing a new Local Plan to guide development in Oxford up to 2036.</w:t>
      </w:r>
      <w:r w:rsidR="00C93890">
        <w:rPr>
          <w:color w:val="auto"/>
          <w:lang w:eastAsia="en-US"/>
        </w:rPr>
        <w:t xml:space="preserve"> The</w:t>
      </w:r>
      <w:r>
        <w:rPr>
          <w:color w:val="auto"/>
          <w:lang w:eastAsia="en-US"/>
        </w:rPr>
        <w:t xml:space="preserve"> new Local Plan is currently at the preferred options stage</w:t>
      </w:r>
      <w:r w:rsidR="00C93890">
        <w:rPr>
          <w:color w:val="auto"/>
          <w:lang w:eastAsia="en-US"/>
        </w:rPr>
        <w:t>, with consultation on the</w:t>
      </w:r>
      <w:r>
        <w:rPr>
          <w:color w:val="auto"/>
          <w:lang w:eastAsia="en-US"/>
        </w:rPr>
        <w:t xml:space="preserve"> draft</w:t>
      </w:r>
      <w:r w:rsidR="00C93890">
        <w:rPr>
          <w:color w:val="auto"/>
          <w:lang w:eastAsia="en-US"/>
        </w:rPr>
        <w:t xml:space="preserve"> Local Plan due to take place in </w:t>
      </w:r>
      <w:proofErr w:type="gramStart"/>
      <w:r w:rsidR="00C93890">
        <w:rPr>
          <w:color w:val="auto"/>
          <w:lang w:eastAsia="en-US"/>
        </w:rPr>
        <w:t>Summer</w:t>
      </w:r>
      <w:proofErr w:type="gramEnd"/>
      <w:r w:rsidR="00C93890">
        <w:rPr>
          <w:color w:val="auto"/>
          <w:lang w:eastAsia="en-US"/>
        </w:rPr>
        <w:t xml:space="preserve"> 2018</w:t>
      </w:r>
      <w:r w:rsidR="007672D6">
        <w:rPr>
          <w:color w:val="auto"/>
          <w:lang w:eastAsia="en-US"/>
        </w:rPr>
        <w:t>,</w:t>
      </w:r>
      <w:r w:rsidR="00C93890">
        <w:rPr>
          <w:color w:val="auto"/>
          <w:lang w:eastAsia="en-US"/>
        </w:rPr>
        <w:t xml:space="preserve"> and the new Local Plan expected to be submitted to the Government for examination by the end of the 2018.</w:t>
      </w:r>
      <w:r w:rsidR="000223CA">
        <w:rPr>
          <w:color w:val="auto"/>
          <w:lang w:eastAsia="en-US"/>
        </w:rPr>
        <w:t xml:space="preserve"> </w:t>
      </w:r>
      <w:r w:rsidR="00C93890" w:rsidRPr="000223CA">
        <w:rPr>
          <w:color w:val="auto"/>
          <w:lang w:eastAsia="en-US"/>
        </w:rPr>
        <w:t xml:space="preserve">It should be noted that the timeline for producing the new Local Plan is likely to coincide with the timeline for producing the Littlemore Neighbourhood Plan. This </w:t>
      </w:r>
      <w:r w:rsidR="000223CA" w:rsidRPr="000223CA">
        <w:rPr>
          <w:color w:val="auto"/>
          <w:lang w:eastAsia="en-US"/>
        </w:rPr>
        <w:t>co</w:t>
      </w:r>
      <w:r w:rsidR="007672D6">
        <w:rPr>
          <w:color w:val="auto"/>
          <w:lang w:eastAsia="en-US"/>
        </w:rPr>
        <w:t>uld make the production of the Neighbourhood P</w:t>
      </w:r>
      <w:r w:rsidR="000223CA" w:rsidRPr="000223CA">
        <w:rPr>
          <w:color w:val="auto"/>
          <w:lang w:eastAsia="en-US"/>
        </w:rPr>
        <w:t>lan more challenging, as t</w:t>
      </w:r>
      <w:r w:rsidR="00C93890" w:rsidRPr="000223CA">
        <w:rPr>
          <w:color w:val="auto"/>
          <w:lang w:eastAsia="en-US"/>
        </w:rPr>
        <w:t>h</w:t>
      </w:r>
      <w:r w:rsidR="000223CA" w:rsidRPr="000223CA">
        <w:rPr>
          <w:color w:val="auto"/>
          <w:lang w:eastAsia="en-US"/>
        </w:rPr>
        <w:t>e new Local Plan is</w:t>
      </w:r>
      <w:r w:rsidR="00C93890" w:rsidRPr="000223CA">
        <w:rPr>
          <w:color w:val="auto"/>
          <w:lang w:eastAsia="en-US"/>
        </w:rPr>
        <w:t xml:space="preserve"> likely include new strategic policies</w:t>
      </w:r>
      <w:r w:rsidR="000223CA" w:rsidRPr="000223CA">
        <w:rPr>
          <w:color w:val="auto"/>
          <w:lang w:eastAsia="en-US"/>
        </w:rPr>
        <w:t xml:space="preserve"> which the neighbourhood plan will need to be in conformity with when the Local Plan is adopted (expected to be </w:t>
      </w:r>
      <w:r w:rsidR="00151DC6">
        <w:rPr>
          <w:color w:val="auto"/>
          <w:lang w:eastAsia="en-US"/>
        </w:rPr>
        <w:t>in</w:t>
      </w:r>
      <w:r w:rsidR="000223CA" w:rsidRPr="000223CA">
        <w:rPr>
          <w:color w:val="auto"/>
          <w:lang w:eastAsia="en-US"/>
        </w:rPr>
        <w:t xml:space="preserve"> 2019).</w:t>
      </w:r>
    </w:p>
    <w:p w:rsidR="00633578" w:rsidRPr="001356F1" w:rsidRDefault="00DC518D" w:rsidP="00E87F7A">
      <w:pPr>
        <w:pStyle w:val="Heading1"/>
      </w:pPr>
      <w:r>
        <w:t>Compliance with Planning Regulations</w:t>
      </w:r>
    </w:p>
    <w:p w:rsidR="00E12CDA" w:rsidRDefault="00DF5A87" w:rsidP="00E12CDA">
      <w:pPr>
        <w:pStyle w:val="ListParagraph"/>
      </w:pPr>
      <w:r>
        <w:t>The</w:t>
      </w:r>
      <w:r w:rsidR="00E12CDA">
        <w:t xml:space="preserve"> Neighbourhood Planning Regulations </w:t>
      </w:r>
      <w:r>
        <w:t>set</w:t>
      </w:r>
      <w:r w:rsidR="00E12CDA">
        <w:t xml:space="preserve"> out the information that must be provided when a</w:t>
      </w:r>
      <w:r w:rsidR="005D22A0">
        <w:t>n application to designate a neighbourhood area is submitte</w:t>
      </w:r>
      <w:r w:rsidR="006123B0">
        <w:t>d</w:t>
      </w:r>
      <w:r w:rsidR="00E12CDA">
        <w:t>:</w:t>
      </w:r>
    </w:p>
    <w:p w:rsidR="00E12CDA" w:rsidRDefault="006123B0" w:rsidP="00E6068D">
      <w:pPr>
        <w:pStyle w:val="ListParagraph"/>
        <w:numPr>
          <w:ilvl w:val="0"/>
          <w:numId w:val="34"/>
        </w:numPr>
        <w:ind w:left="1134" w:hanging="294"/>
      </w:pPr>
      <w:r>
        <w:t>A map</w:t>
      </w:r>
      <w:r w:rsidR="00C1609D">
        <w:t xml:space="preserve"> showing the proposed neighbourhood a</w:t>
      </w:r>
      <w:r w:rsidR="00E12CDA">
        <w:t>re</w:t>
      </w:r>
      <w:r w:rsidR="00C1609D">
        <w:t>a</w:t>
      </w:r>
      <w:r w:rsidR="00E12CDA">
        <w:t>;</w:t>
      </w:r>
    </w:p>
    <w:p w:rsidR="00E12CDA" w:rsidRDefault="006123B0" w:rsidP="00E6068D">
      <w:pPr>
        <w:pStyle w:val="ListParagraph"/>
        <w:numPr>
          <w:ilvl w:val="0"/>
          <w:numId w:val="34"/>
        </w:numPr>
        <w:ind w:left="1134" w:hanging="294"/>
      </w:pPr>
      <w:r>
        <w:t>A statement</w:t>
      </w:r>
      <w:r w:rsidR="00E12CDA">
        <w:t xml:space="preserve"> explaining why the area is considered appropriate to be designated as a neighbourhood area; and</w:t>
      </w:r>
    </w:p>
    <w:p w:rsidR="006C0612" w:rsidRDefault="006123B0" w:rsidP="00DF5A87">
      <w:pPr>
        <w:pStyle w:val="ListParagraph"/>
        <w:numPr>
          <w:ilvl w:val="0"/>
          <w:numId w:val="34"/>
        </w:numPr>
        <w:ind w:left="1134" w:hanging="294"/>
      </w:pPr>
      <w:r>
        <w:t>A</w:t>
      </w:r>
      <w:r w:rsidR="00E12CDA">
        <w:t xml:space="preserve"> statement that the organisation or body making the area application is a relevant body</w:t>
      </w:r>
      <w:r w:rsidR="00F37B16">
        <w:t xml:space="preserve"> (a parish council or neighbourhood forum).</w:t>
      </w:r>
    </w:p>
    <w:p w:rsidR="00DF5A87" w:rsidRDefault="00DF5A87" w:rsidP="00DC518D">
      <w:pPr>
        <w:pStyle w:val="ListParagraph"/>
        <w:numPr>
          <w:ilvl w:val="0"/>
          <w:numId w:val="0"/>
        </w:numPr>
        <w:ind w:left="426"/>
      </w:pPr>
      <w:r>
        <w:t xml:space="preserve">The </w:t>
      </w:r>
      <w:r w:rsidR="00733EA6">
        <w:t xml:space="preserve">neighbourhood </w:t>
      </w:r>
      <w:r>
        <w:t>area application submitted by Littlemore Parish Council (Appendices 1, 2 and 3) is considered to meet these requirements</w:t>
      </w:r>
      <w:r w:rsidR="00C1609D">
        <w:t>.</w:t>
      </w:r>
    </w:p>
    <w:p w:rsidR="00DC518D" w:rsidRDefault="00B229E7" w:rsidP="00060795">
      <w:pPr>
        <w:pStyle w:val="ListParagraph"/>
      </w:pPr>
      <w:r>
        <w:t>As a parish council, Littlemore Pari</w:t>
      </w:r>
      <w:r w:rsidR="00F001A6">
        <w:t>sh Council is considered a ‘relevant body’ to make a</w:t>
      </w:r>
      <w:r w:rsidR="00733EA6">
        <w:t xml:space="preserve"> </w:t>
      </w:r>
      <w:r w:rsidR="00F001A6">
        <w:t>n</w:t>
      </w:r>
      <w:r w:rsidR="00733EA6">
        <w:t>eighbourhood</w:t>
      </w:r>
      <w:r w:rsidR="00F001A6">
        <w:t xml:space="preserve"> area application and to lead the production of a neighbourhood plan (in accordance with Section 61G(2) of The Town</w:t>
      </w:r>
      <w:r w:rsidR="00060795">
        <w:t xml:space="preserve"> and Country Planning Act 1990, </w:t>
      </w:r>
      <w:r w:rsidR="00F001A6">
        <w:t>as a</w:t>
      </w:r>
      <w:r w:rsidR="00060795">
        <w:t>mended by the Localism Act 2011</w:t>
      </w:r>
      <w:r w:rsidR="00F001A6">
        <w:t>).</w:t>
      </w:r>
    </w:p>
    <w:p w:rsidR="00F001A6" w:rsidRDefault="00F001A6" w:rsidP="00A371D0">
      <w:pPr>
        <w:pStyle w:val="ListParagraph"/>
      </w:pPr>
      <w:r>
        <w:t>As the</w:t>
      </w:r>
      <w:r w:rsidR="00733EA6">
        <w:t xml:space="preserve"> neighbourhood</w:t>
      </w:r>
      <w:r>
        <w:t xml:space="preserve"> area application submitted by Littlemore Parish Council consists of the whole of the parish council area, and there are no other neighbourhood areas within this, the Regulations are clear that the City Council must designate the neighbourhood area. In these circumstances</w:t>
      </w:r>
      <w:r w:rsidR="00303491">
        <w:t xml:space="preserve"> there is no requirement to undertake consultation on the </w:t>
      </w:r>
      <w:r w:rsidR="00733EA6">
        <w:t xml:space="preserve">neighbourhood </w:t>
      </w:r>
      <w:r w:rsidR="00303491">
        <w:t xml:space="preserve">area application. </w:t>
      </w:r>
    </w:p>
    <w:p w:rsidR="003773A5" w:rsidRPr="00A50D6A" w:rsidRDefault="003773A5" w:rsidP="003773A5">
      <w:pPr>
        <w:pStyle w:val="bParagraphtext"/>
        <w:numPr>
          <w:ilvl w:val="0"/>
          <w:numId w:val="0"/>
        </w:numPr>
        <w:rPr>
          <w:b/>
        </w:rPr>
      </w:pPr>
      <w:r w:rsidRPr="00A50D6A">
        <w:rPr>
          <w:b/>
        </w:rPr>
        <w:t>Community Infrastructure Levy</w:t>
      </w:r>
    </w:p>
    <w:p w:rsidR="00303491" w:rsidRPr="00303491" w:rsidRDefault="003773A5" w:rsidP="00303491">
      <w:pPr>
        <w:pStyle w:val="ListParagraph"/>
        <w:rPr>
          <w:b/>
        </w:rPr>
      </w:pPr>
      <w:r w:rsidRPr="003773A5">
        <w:t xml:space="preserve">The Community Infrastructure Levy (CIL) is a tariff in the form of a standard charge on new development to help the funding of infrastructure. </w:t>
      </w:r>
      <w:r>
        <w:t>The CIL Regulations require a proportion</w:t>
      </w:r>
      <w:r w:rsidR="00303491">
        <w:t xml:space="preserve"> (15%)</w:t>
      </w:r>
      <w:r>
        <w:t xml:space="preserve"> of CIL money collected to be used to provide neighbourhood level infrastructure to support areas where development is taking place. </w:t>
      </w:r>
      <w:r w:rsidR="00060795">
        <w:t xml:space="preserve">This neighbourhood portion of CIL rises to 25% in areas with an adopted </w:t>
      </w:r>
      <w:r w:rsidR="00060795">
        <w:lastRenderedPageBreak/>
        <w:t xml:space="preserve">neighbourhood plan. </w:t>
      </w:r>
      <w:r w:rsidR="00303491">
        <w:t>In areas with a parish council,</w:t>
      </w:r>
      <w:r w:rsidR="000B7463">
        <w:t xml:space="preserve"> as an </w:t>
      </w:r>
      <w:proofErr w:type="gramStart"/>
      <w:r w:rsidR="000B7463">
        <w:t>accountable</w:t>
      </w:r>
      <w:proofErr w:type="gramEnd"/>
      <w:r w:rsidR="000B7463">
        <w:t xml:space="preserve"> body,</w:t>
      </w:r>
      <w:r w:rsidR="00303491">
        <w:t xml:space="preserve"> this money is passed to the parish council to spend.</w:t>
      </w:r>
    </w:p>
    <w:p w:rsidR="00A52AC1" w:rsidRPr="00303491" w:rsidRDefault="00A52AC1" w:rsidP="00303491">
      <w:pPr>
        <w:rPr>
          <w:b/>
        </w:rPr>
      </w:pPr>
      <w:r w:rsidRPr="00303491">
        <w:rPr>
          <w:b/>
        </w:rPr>
        <w:t>Business Area Designation</w:t>
      </w:r>
    </w:p>
    <w:p w:rsidR="00A52AC1" w:rsidRDefault="00A52AC1" w:rsidP="0000326B">
      <w:pPr>
        <w:pStyle w:val="ListParagraph"/>
      </w:pPr>
      <w:r>
        <w:t>When the City Council designates a neighbour</w:t>
      </w:r>
      <w:r w:rsidR="007862C0">
        <w:t>hood area it is required to</w:t>
      </w:r>
      <w:r>
        <w:t xml:space="preserve"> </w:t>
      </w:r>
      <w:r w:rsidR="00733EA6">
        <w:t xml:space="preserve">also </w:t>
      </w:r>
      <w:r>
        <w:t>consider whether the area should be</w:t>
      </w:r>
      <w:r w:rsidR="0000326B">
        <w:t xml:space="preserve"> designated as a business area.</w:t>
      </w:r>
      <w:r>
        <w:t xml:space="preserve"> An area should be designated as a business area only if the City Council considers that the area is wholly or pr</w:t>
      </w:r>
      <w:r w:rsidR="0000326B">
        <w:t>edominantly business in nature.</w:t>
      </w:r>
      <w:r>
        <w:t xml:space="preserve"> </w:t>
      </w:r>
      <w:r w:rsidR="0074374D">
        <w:t xml:space="preserve">Whilst the </w:t>
      </w:r>
      <w:r w:rsidR="0085226F">
        <w:t xml:space="preserve">proposed </w:t>
      </w:r>
      <w:r w:rsidR="00733EA6">
        <w:t>neighbourhood a</w:t>
      </w:r>
      <w:r w:rsidR="0085226F">
        <w:t>rea</w:t>
      </w:r>
      <w:r w:rsidR="0074374D">
        <w:t xml:space="preserve"> include</w:t>
      </w:r>
      <w:r w:rsidR="0085226F">
        <w:t>s</w:t>
      </w:r>
      <w:r w:rsidR="0074374D">
        <w:t xml:space="preserve"> some employment areas (s</w:t>
      </w:r>
      <w:r w:rsidR="00733EA6">
        <w:t>uch as the Oxford Science Park), it also includes a</w:t>
      </w:r>
      <w:r w:rsidR="006C0612">
        <w:t xml:space="preserve"> significant number</w:t>
      </w:r>
      <w:r w:rsidR="0074374D">
        <w:t xml:space="preserve"> of residential properties. The</w:t>
      </w:r>
      <w:r w:rsidR="00733EA6">
        <w:t>refore the proposed neighbourhood a</w:t>
      </w:r>
      <w:r w:rsidR="0074374D">
        <w:t xml:space="preserve">rea is not considered </w:t>
      </w:r>
      <w:r w:rsidR="00733EA6">
        <w:t>appropriate for designation as</w:t>
      </w:r>
      <w:r w:rsidR="0074374D">
        <w:t xml:space="preserve"> a business area.</w:t>
      </w:r>
    </w:p>
    <w:p w:rsidR="0040736F" w:rsidRPr="001356F1" w:rsidRDefault="002329CF" w:rsidP="004A6D2F">
      <w:pPr>
        <w:pStyle w:val="Heading1"/>
      </w:pPr>
      <w:r w:rsidRPr="001356F1">
        <w:t>Financial implications</w:t>
      </w:r>
    </w:p>
    <w:p w:rsidR="00BC5A71" w:rsidRPr="001356F1" w:rsidRDefault="003B65EA" w:rsidP="00303491">
      <w:pPr>
        <w:pStyle w:val="ListParagraph"/>
        <w:ind w:left="360" w:hanging="360"/>
      </w:pPr>
      <w:r>
        <w:t>The City Council is</w:t>
      </w:r>
      <w:r w:rsidR="00BC5A71">
        <w:t xml:space="preserve"> obliged to offer a certain degree of help to</w:t>
      </w:r>
      <w:r>
        <w:t xml:space="preserve"> neighbourhood</w:t>
      </w:r>
      <w:r w:rsidR="00BC5A71">
        <w:t xml:space="preserve"> </w:t>
      </w:r>
      <w:r>
        <w:t xml:space="preserve">planning </w:t>
      </w:r>
      <w:r w:rsidR="0085226F">
        <w:t>groups as they work on producing their neighbourhood</w:t>
      </w:r>
      <w:r w:rsidR="00BC5A71">
        <w:t xml:space="preserve"> plans. As well as this, the City Council must consult on draft plans, organise an exam</w:t>
      </w:r>
      <w:r w:rsidR="0085226F">
        <w:t>ination and run the referendum.</w:t>
      </w:r>
      <w:r w:rsidR="00BC5A71">
        <w:t xml:space="preserve"> These requirements will be met from the current re</w:t>
      </w:r>
      <w:r w:rsidR="00303491">
        <w:t xml:space="preserve">sources of </w:t>
      </w:r>
      <w:r w:rsidR="00303491" w:rsidRPr="00303491">
        <w:t>Planning, Sustainable Development and Regulatory Services</w:t>
      </w:r>
      <w:r w:rsidR="00BC5A71">
        <w:t>, supplemented by grants available from central government to district councils</w:t>
      </w:r>
      <w:r w:rsidR="00303491">
        <w:t xml:space="preserve"> to support neighbourhood planning.</w:t>
      </w:r>
    </w:p>
    <w:p w:rsidR="0040736F" w:rsidRPr="001356F1" w:rsidRDefault="00DA614B" w:rsidP="004A6D2F">
      <w:pPr>
        <w:pStyle w:val="Heading1"/>
      </w:pPr>
      <w:r w:rsidRPr="001356F1">
        <w:t>Legal issues</w:t>
      </w:r>
    </w:p>
    <w:p w:rsidR="00E87F7A" w:rsidRPr="00063875" w:rsidRDefault="00303491" w:rsidP="005570B5">
      <w:pPr>
        <w:pStyle w:val="ListParagraph"/>
      </w:pPr>
      <w:r>
        <w:t>As outlined above, t</w:t>
      </w:r>
      <w:r w:rsidR="00BC5A71">
        <w:t xml:space="preserve">he </w:t>
      </w:r>
      <w:r>
        <w:t>neighbourhood area application submitted by Littlemore Parish Council is considered to comply with statutory requirements</w:t>
      </w:r>
      <w:r w:rsidR="00063875">
        <w:t xml:space="preserve">, </w:t>
      </w:r>
      <w:r w:rsidR="00063875" w:rsidRPr="00063875">
        <w:t xml:space="preserve">and in particular the </w:t>
      </w:r>
      <w:r w:rsidR="00063875" w:rsidRPr="00856DA8">
        <w:rPr>
          <w:rFonts w:cs="Arial"/>
          <w:color w:val="auto"/>
        </w:rPr>
        <w:t>Neighbourhood Planning (General) Regulations 2012</w:t>
      </w:r>
      <w:r w:rsidR="009970BB">
        <w:rPr>
          <w:rFonts w:cs="Arial"/>
          <w:color w:val="auto"/>
        </w:rPr>
        <w:t xml:space="preserve"> as amended in 2015</w:t>
      </w:r>
      <w:r w:rsidRPr="00063875">
        <w:t>.</w:t>
      </w:r>
    </w:p>
    <w:p w:rsidR="002329CF" w:rsidRPr="001356F1" w:rsidRDefault="002329CF" w:rsidP="004A6D2F">
      <w:pPr>
        <w:pStyle w:val="Heading1"/>
      </w:pPr>
      <w:r w:rsidRPr="001356F1">
        <w:t>Level of risk</w:t>
      </w:r>
    </w:p>
    <w:p w:rsidR="00BC5A71" w:rsidRPr="001356F1" w:rsidRDefault="00BC5A71" w:rsidP="00BC5A71">
      <w:pPr>
        <w:pStyle w:val="ListParagraph"/>
      </w:pPr>
      <w:r>
        <w:t>A risk assessment has been undertaken. No significant risks were identified.</w:t>
      </w:r>
    </w:p>
    <w:p w:rsidR="002329CF" w:rsidRPr="001356F1" w:rsidRDefault="002329CF" w:rsidP="0050321C">
      <w:pPr>
        <w:pStyle w:val="Heading1"/>
      </w:pPr>
      <w:r w:rsidRPr="001356F1">
        <w:t xml:space="preserve">Equalities impact </w:t>
      </w:r>
    </w:p>
    <w:p w:rsidR="00733EA6" w:rsidRPr="00B90B47" w:rsidRDefault="00BC5A71" w:rsidP="00B90B47">
      <w:pPr>
        <w:pStyle w:val="ListParagraph"/>
      </w:pPr>
      <w:r w:rsidRPr="00BC5A71">
        <w:rPr>
          <w:color w:val="auto"/>
          <w:lang w:eastAsia="en-US"/>
        </w:rPr>
        <w:t xml:space="preserve">Consideration has been given to the public sector equality duty imposed by </w:t>
      </w:r>
      <w:r w:rsidR="003B65EA">
        <w:rPr>
          <w:color w:val="auto"/>
          <w:lang w:eastAsia="en-US"/>
        </w:rPr>
        <w:t xml:space="preserve">s149 of the Equality Act 2010. </w:t>
      </w:r>
      <w:r w:rsidRPr="00BC5A71">
        <w:rPr>
          <w:color w:val="auto"/>
          <w:lang w:eastAsia="en-US"/>
        </w:rPr>
        <w:t xml:space="preserve">Having paid due regard to the need to meet the objectives of that duty the view is taken </w:t>
      </w:r>
      <w:r w:rsidRPr="00BC5A71">
        <w:rPr>
          <w:rFonts w:ascii="TTD53o00" w:hAnsi="TTD53o00" w:cs="TTD53o00"/>
          <w:color w:val="auto"/>
        </w:rPr>
        <w:t xml:space="preserve">that </w:t>
      </w:r>
      <w:r w:rsidRPr="00BC5A71">
        <w:rPr>
          <w:color w:val="auto"/>
          <w:lang w:eastAsia="en-US"/>
        </w:rPr>
        <w:t>the duty is met.</w:t>
      </w:r>
    </w:p>
    <w:p w:rsidR="00B90B47" w:rsidRPr="00B90B47" w:rsidRDefault="00B90B47" w:rsidP="00B90B47">
      <w:pPr>
        <w:rPr>
          <w:sz w:val="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0326B" w:rsidP="00A46E98">
            <w:r>
              <w:t>Rebekah Knight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0326B" w:rsidP="00A46E98">
            <w:r>
              <w:t>Planner (Planning Policy)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0326B" w:rsidP="00A46E98">
            <w:r>
              <w:t>Planning</w:t>
            </w:r>
            <w:r w:rsidR="007862C0">
              <w:t>, Sustainable Development</w:t>
            </w:r>
            <w:r>
              <w:t xml:space="preserve">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00326B">
            <w:r w:rsidRPr="001356F1">
              <w:t xml:space="preserve">01865 </w:t>
            </w:r>
            <w:r w:rsidR="0000326B">
              <w:t>252162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0326B" w:rsidRPr="001356F1" w:rsidRDefault="008439FB" w:rsidP="00A46E98">
            <w:pPr>
              <w:rPr>
                <w:rStyle w:val="Hyperlink"/>
                <w:color w:val="000000"/>
              </w:rPr>
            </w:pPr>
            <w:hyperlink r:id="rId9" w:history="1">
              <w:r w:rsidR="0000326B" w:rsidRPr="0064268D">
                <w:rPr>
                  <w:rStyle w:val="Hyperlink"/>
                </w:rPr>
                <w:t>rknight@oxford.gov.uk</w:t>
              </w:r>
            </w:hyperlink>
          </w:p>
        </w:tc>
      </w:tr>
    </w:tbl>
    <w:p w:rsidR="00433B96" w:rsidRPr="001356F1" w:rsidRDefault="00433B96" w:rsidP="004A6D2F">
      <w:bookmarkStart w:id="0" w:name="_GoBack"/>
      <w:bookmarkEnd w:id="0"/>
    </w:p>
    <w:sectPr w:rsidR="00433B96" w:rsidRPr="001356F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1F" w:rsidRDefault="00675A1F" w:rsidP="004A6D2F">
      <w:r>
        <w:separator/>
      </w:r>
    </w:p>
  </w:endnote>
  <w:endnote w:type="continuationSeparator" w:id="0">
    <w:p w:rsidR="00675A1F" w:rsidRDefault="00675A1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D5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1F" w:rsidRDefault="00675A1F" w:rsidP="004A6D2F">
      <w:r>
        <w:separator/>
      </w:r>
    </w:p>
  </w:footnote>
  <w:footnote w:type="continuationSeparator" w:id="0">
    <w:p w:rsidR="00675A1F" w:rsidRDefault="00675A1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96F31" w:rsidP="00D5547E">
    <w:pPr>
      <w:pStyle w:val="Header"/>
      <w:jc w:val="right"/>
    </w:pPr>
    <w:r>
      <w:rPr>
        <w:noProof/>
      </w:rPr>
      <w:drawing>
        <wp:inline distT="0" distB="0" distL="0" distR="0" wp14:anchorId="45155BBA" wp14:editId="5F6CB78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0D4E26"/>
    <w:multiLevelType w:val="hybridMultilevel"/>
    <w:tmpl w:val="9D3465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A6F29BD"/>
    <w:multiLevelType w:val="hybridMultilevel"/>
    <w:tmpl w:val="6C3E14C4"/>
    <w:lvl w:ilvl="0" w:tplc="0409000F">
      <w:start w:val="1"/>
      <w:numFmt w:val="decimal"/>
      <w:lvlText w:val="%1."/>
      <w:lvlJc w:val="left"/>
      <w:pPr>
        <w:tabs>
          <w:tab w:val="num" w:pos="720"/>
        </w:tabs>
        <w:ind w:left="720" w:hanging="360"/>
      </w:pPr>
    </w:lvl>
    <w:lvl w:ilvl="1" w:tplc="8542CA3A">
      <w:start w:val="1"/>
      <w:numFmt w:val="bullet"/>
      <w:lvlText w:val=""/>
      <w:lvlJc w:val="left"/>
      <w:pPr>
        <w:tabs>
          <w:tab w:val="num" w:pos="1440"/>
        </w:tabs>
        <w:ind w:left="1420" w:hanging="340"/>
      </w:pPr>
      <w:rPr>
        <w:rFonts w:ascii="Symbol" w:hAnsi="Symbol"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C0902EF"/>
    <w:multiLevelType w:val="hybridMultilevel"/>
    <w:tmpl w:val="93EC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BC1D1B"/>
    <w:multiLevelType w:val="hybridMultilevel"/>
    <w:tmpl w:val="824C359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21"/>
  </w:num>
  <w:num w:numId="5">
    <w:abstractNumId w:val="31"/>
  </w:num>
  <w:num w:numId="6">
    <w:abstractNumId w:val="35"/>
  </w:num>
  <w:num w:numId="7">
    <w:abstractNumId w:val="24"/>
  </w:num>
  <w:num w:numId="8">
    <w:abstractNumId w:val="22"/>
  </w:num>
  <w:num w:numId="9">
    <w:abstractNumId w:val="13"/>
  </w:num>
  <w:num w:numId="10">
    <w:abstractNumId w:val="16"/>
  </w:num>
  <w:num w:numId="11">
    <w:abstractNumId w:val="28"/>
  </w:num>
  <w:num w:numId="12">
    <w:abstractNumId w:val="26"/>
  </w:num>
  <w:num w:numId="13">
    <w:abstractNumId w:val="10"/>
  </w:num>
  <w:num w:numId="14">
    <w:abstractNumId w:val="36"/>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19"/>
  </w:num>
  <w:num w:numId="3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7D"/>
    <w:rsid w:val="0000326B"/>
    <w:rsid w:val="000117D4"/>
    <w:rsid w:val="000223CA"/>
    <w:rsid w:val="000314D7"/>
    <w:rsid w:val="00045F8B"/>
    <w:rsid w:val="00046D2B"/>
    <w:rsid w:val="00055277"/>
    <w:rsid w:val="00056263"/>
    <w:rsid w:val="00060795"/>
    <w:rsid w:val="00063875"/>
    <w:rsid w:val="00064D8A"/>
    <w:rsid w:val="00064F82"/>
    <w:rsid w:val="00066510"/>
    <w:rsid w:val="0007384F"/>
    <w:rsid w:val="00077523"/>
    <w:rsid w:val="00087ADB"/>
    <w:rsid w:val="000B7463"/>
    <w:rsid w:val="000C089F"/>
    <w:rsid w:val="000C3928"/>
    <w:rsid w:val="000C5E8E"/>
    <w:rsid w:val="000C63B7"/>
    <w:rsid w:val="000D25F3"/>
    <w:rsid w:val="000D3B31"/>
    <w:rsid w:val="000F1577"/>
    <w:rsid w:val="000F4751"/>
    <w:rsid w:val="0010524C"/>
    <w:rsid w:val="00111FB1"/>
    <w:rsid w:val="00113418"/>
    <w:rsid w:val="00123EC2"/>
    <w:rsid w:val="00135360"/>
    <w:rsid w:val="001356F1"/>
    <w:rsid w:val="00136994"/>
    <w:rsid w:val="0014128E"/>
    <w:rsid w:val="00151888"/>
    <w:rsid w:val="00151DC6"/>
    <w:rsid w:val="00170A2D"/>
    <w:rsid w:val="001808BC"/>
    <w:rsid w:val="00182B81"/>
    <w:rsid w:val="0018619D"/>
    <w:rsid w:val="00196F31"/>
    <w:rsid w:val="001A011E"/>
    <w:rsid w:val="001A066A"/>
    <w:rsid w:val="001A13E6"/>
    <w:rsid w:val="001A5731"/>
    <w:rsid w:val="001B42C3"/>
    <w:rsid w:val="001C5D5E"/>
    <w:rsid w:val="001D5712"/>
    <w:rsid w:val="001D678D"/>
    <w:rsid w:val="001E03F8"/>
    <w:rsid w:val="001E085B"/>
    <w:rsid w:val="001E1678"/>
    <w:rsid w:val="001E3376"/>
    <w:rsid w:val="002069B3"/>
    <w:rsid w:val="002329CF"/>
    <w:rsid w:val="00232F5B"/>
    <w:rsid w:val="00247C29"/>
    <w:rsid w:val="00260467"/>
    <w:rsid w:val="00263EA3"/>
    <w:rsid w:val="00282E65"/>
    <w:rsid w:val="00284F85"/>
    <w:rsid w:val="00290915"/>
    <w:rsid w:val="002A07FF"/>
    <w:rsid w:val="002A22E2"/>
    <w:rsid w:val="002B79CC"/>
    <w:rsid w:val="002C64F7"/>
    <w:rsid w:val="002D61C4"/>
    <w:rsid w:val="002D6EF2"/>
    <w:rsid w:val="002F41F2"/>
    <w:rsid w:val="00301BF3"/>
    <w:rsid w:val="0030208D"/>
    <w:rsid w:val="00303491"/>
    <w:rsid w:val="00313F44"/>
    <w:rsid w:val="00323418"/>
    <w:rsid w:val="003357BF"/>
    <w:rsid w:val="00364FAD"/>
    <w:rsid w:val="0036738F"/>
    <w:rsid w:val="0036759C"/>
    <w:rsid w:val="00367AE5"/>
    <w:rsid w:val="00367D71"/>
    <w:rsid w:val="003773A5"/>
    <w:rsid w:val="0038150A"/>
    <w:rsid w:val="00394A20"/>
    <w:rsid w:val="003B4FB7"/>
    <w:rsid w:val="003B65EA"/>
    <w:rsid w:val="003B6E75"/>
    <w:rsid w:val="003B7DA1"/>
    <w:rsid w:val="003D0379"/>
    <w:rsid w:val="003D2574"/>
    <w:rsid w:val="003D4C59"/>
    <w:rsid w:val="003F4267"/>
    <w:rsid w:val="00404032"/>
    <w:rsid w:val="0040736F"/>
    <w:rsid w:val="00412C1F"/>
    <w:rsid w:val="00421CB2"/>
    <w:rsid w:val="004232A5"/>
    <w:rsid w:val="004268B9"/>
    <w:rsid w:val="00433B96"/>
    <w:rsid w:val="004440F1"/>
    <w:rsid w:val="004456DD"/>
    <w:rsid w:val="00446CDF"/>
    <w:rsid w:val="004521B7"/>
    <w:rsid w:val="00460FA9"/>
    <w:rsid w:val="00462AB5"/>
    <w:rsid w:val="00465EAF"/>
    <w:rsid w:val="004738C5"/>
    <w:rsid w:val="00491046"/>
    <w:rsid w:val="004A2AC7"/>
    <w:rsid w:val="004A5D4C"/>
    <w:rsid w:val="004A6D2F"/>
    <w:rsid w:val="004C0A95"/>
    <w:rsid w:val="004C2887"/>
    <w:rsid w:val="004D2626"/>
    <w:rsid w:val="004D6E26"/>
    <w:rsid w:val="004D77D3"/>
    <w:rsid w:val="004E2959"/>
    <w:rsid w:val="004F1E88"/>
    <w:rsid w:val="004F20EF"/>
    <w:rsid w:val="0050321C"/>
    <w:rsid w:val="00517D6E"/>
    <w:rsid w:val="00531340"/>
    <w:rsid w:val="00542C37"/>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2A0"/>
    <w:rsid w:val="005D2A3E"/>
    <w:rsid w:val="005E022E"/>
    <w:rsid w:val="005E5215"/>
    <w:rsid w:val="005E6E8C"/>
    <w:rsid w:val="005F7F7E"/>
    <w:rsid w:val="006123B0"/>
    <w:rsid w:val="00614693"/>
    <w:rsid w:val="00622827"/>
    <w:rsid w:val="00623C2F"/>
    <w:rsid w:val="00633578"/>
    <w:rsid w:val="00637068"/>
    <w:rsid w:val="00650811"/>
    <w:rsid w:val="00661ADA"/>
    <w:rsid w:val="00661D3E"/>
    <w:rsid w:val="00675A1F"/>
    <w:rsid w:val="00692627"/>
    <w:rsid w:val="00693077"/>
    <w:rsid w:val="006958A8"/>
    <w:rsid w:val="006969E7"/>
    <w:rsid w:val="006A3643"/>
    <w:rsid w:val="006C0612"/>
    <w:rsid w:val="006C2A29"/>
    <w:rsid w:val="006C59B0"/>
    <w:rsid w:val="006C64CF"/>
    <w:rsid w:val="006D17B1"/>
    <w:rsid w:val="006D4752"/>
    <w:rsid w:val="006D6518"/>
    <w:rsid w:val="006D708A"/>
    <w:rsid w:val="006E14C1"/>
    <w:rsid w:val="006F0292"/>
    <w:rsid w:val="006F27FA"/>
    <w:rsid w:val="006F416B"/>
    <w:rsid w:val="006F519B"/>
    <w:rsid w:val="00713675"/>
    <w:rsid w:val="00715823"/>
    <w:rsid w:val="00733EA6"/>
    <w:rsid w:val="00737B93"/>
    <w:rsid w:val="0074374D"/>
    <w:rsid w:val="00745BF0"/>
    <w:rsid w:val="007615FE"/>
    <w:rsid w:val="0076655C"/>
    <w:rsid w:val="007672D6"/>
    <w:rsid w:val="007742DC"/>
    <w:rsid w:val="007862C0"/>
    <w:rsid w:val="00791437"/>
    <w:rsid w:val="007B0C2C"/>
    <w:rsid w:val="007B278E"/>
    <w:rsid w:val="007C5C23"/>
    <w:rsid w:val="007E2A26"/>
    <w:rsid w:val="007F2348"/>
    <w:rsid w:val="00803F07"/>
    <w:rsid w:val="0080749A"/>
    <w:rsid w:val="00821FB8"/>
    <w:rsid w:val="00822ACD"/>
    <w:rsid w:val="008439FB"/>
    <w:rsid w:val="0085226F"/>
    <w:rsid w:val="00855C66"/>
    <w:rsid w:val="00856DA8"/>
    <w:rsid w:val="00871EE4"/>
    <w:rsid w:val="008858D3"/>
    <w:rsid w:val="008B293F"/>
    <w:rsid w:val="008B7371"/>
    <w:rsid w:val="008D3DDB"/>
    <w:rsid w:val="008F573F"/>
    <w:rsid w:val="008F5DA1"/>
    <w:rsid w:val="009034EC"/>
    <w:rsid w:val="0093067A"/>
    <w:rsid w:val="00941C60"/>
    <w:rsid w:val="00966D42"/>
    <w:rsid w:val="00971689"/>
    <w:rsid w:val="00973E90"/>
    <w:rsid w:val="00975B07"/>
    <w:rsid w:val="00980B4A"/>
    <w:rsid w:val="009970BB"/>
    <w:rsid w:val="009A7558"/>
    <w:rsid w:val="009E3D0A"/>
    <w:rsid w:val="009E51FC"/>
    <w:rsid w:val="009E5FF4"/>
    <w:rsid w:val="009F1D28"/>
    <w:rsid w:val="009F7618"/>
    <w:rsid w:val="00A04D23"/>
    <w:rsid w:val="00A06766"/>
    <w:rsid w:val="00A13765"/>
    <w:rsid w:val="00A21B12"/>
    <w:rsid w:val="00A23F80"/>
    <w:rsid w:val="00A3247D"/>
    <w:rsid w:val="00A371D0"/>
    <w:rsid w:val="00A46E98"/>
    <w:rsid w:val="00A50D6A"/>
    <w:rsid w:val="00A52AC1"/>
    <w:rsid w:val="00A6352B"/>
    <w:rsid w:val="00A701B5"/>
    <w:rsid w:val="00A70E9A"/>
    <w:rsid w:val="00A714BB"/>
    <w:rsid w:val="00A92D8F"/>
    <w:rsid w:val="00AA32A1"/>
    <w:rsid w:val="00AB2988"/>
    <w:rsid w:val="00AB7999"/>
    <w:rsid w:val="00AD3292"/>
    <w:rsid w:val="00AE7AF0"/>
    <w:rsid w:val="00B229E7"/>
    <w:rsid w:val="00B500CA"/>
    <w:rsid w:val="00B86314"/>
    <w:rsid w:val="00B90B47"/>
    <w:rsid w:val="00BA1C2E"/>
    <w:rsid w:val="00BC200B"/>
    <w:rsid w:val="00BC4756"/>
    <w:rsid w:val="00BC5A71"/>
    <w:rsid w:val="00BC69A4"/>
    <w:rsid w:val="00BE0680"/>
    <w:rsid w:val="00BE305F"/>
    <w:rsid w:val="00BE7BA3"/>
    <w:rsid w:val="00BF5682"/>
    <w:rsid w:val="00BF7B09"/>
    <w:rsid w:val="00C1609D"/>
    <w:rsid w:val="00C20A95"/>
    <w:rsid w:val="00C2692F"/>
    <w:rsid w:val="00C27F14"/>
    <w:rsid w:val="00C3207C"/>
    <w:rsid w:val="00C400E1"/>
    <w:rsid w:val="00C41187"/>
    <w:rsid w:val="00C415FF"/>
    <w:rsid w:val="00C63C31"/>
    <w:rsid w:val="00C757A0"/>
    <w:rsid w:val="00C760DE"/>
    <w:rsid w:val="00C82630"/>
    <w:rsid w:val="00C85B4E"/>
    <w:rsid w:val="00C907F7"/>
    <w:rsid w:val="00C93890"/>
    <w:rsid w:val="00CA2103"/>
    <w:rsid w:val="00CB6B99"/>
    <w:rsid w:val="00CD2185"/>
    <w:rsid w:val="00CE4C87"/>
    <w:rsid w:val="00CE544A"/>
    <w:rsid w:val="00D00835"/>
    <w:rsid w:val="00D11E1C"/>
    <w:rsid w:val="00D1228E"/>
    <w:rsid w:val="00D160B0"/>
    <w:rsid w:val="00D17F94"/>
    <w:rsid w:val="00D223FC"/>
    <w:rsid w:val="00D26D1E"/>
    <w:rsid w:val="00D474CF"/>
    <w:rsid w:val="00D5547E"/>
    <w:rsid w:val="00D869A1"/>
    <w:rsid w:val="00DA413F"/>
    <w:rsid w:val="00DA4584"/>
    <w:rsid w:val="00DA614B"/>
    <w:rsid w:val="00DC3060"/>
    <w:rsid w:val="00DC518D"/>
    <w:rsid w:val="00DE0FB2"/>
    <w:rsid w:val="00DF093E"/>
    <w:rsid w:val="00DF5A87"/>
    <w:rsid w:val="00E01F42"/>
    <w:rsid w:val="00E12CDA"/>
    <w:rsid w:val="00E206D6"/>
    <w:rsid w:val="00E3366E"/>
    <w:rsid w:val="00E36868"/>
    <w:rsid w:val="00E52086"/>
    <w:rsid w:val="00E543A6"/>
    <w:rsid w:val="00E60479"/>
    <w:rsid w:val="00E6068D"/>
    <w:rsid w:val="00E61D73"/>
    <w:rsid w:val="00E73684"/>
    <w:rsid w:val="00E818D6"/>
    <w:rsid w:val="00E87F7A"/>
    <w:rsid w:val="00E96BD7"/>
    <w:rsid w:val="00EA0DB1"/>
    <w:rsid w:val="00EA0EE9"/>
    <w:rsid w:val="00EB7828"/>
    <w:rsid w:val="00ED52CA"/>
    <w:rsid w:val="00ED5860"/>
    <w:rsid w:val="00EE35C9"/>
    <w:rsid w:val="00F001A6"/>
    <w:rsid w:val="00F05ECA"/>
    <w:rsid w:val="00F3566E"/>
    <w:rsid w:val="00F375FB"/>
    <w:rsid w:val="00F37B16"/>
    <w:rsid w:val="00F41AC1"/>
    <w:rsid w:val="00F4367A"/>
    <w:rsid w:val="00F445B1"/>
    <w:rsid w:val="00F45CD4"/>
    <w:rsid w:val="00F66DCA"/>
    <w:rsid w:val="00F74F53"/>
    <w:rsid w:val="00F7606D"/>
    <w:rsid w:val="00F81670"/>
    <w:rsid w:val="00F82024"/>
    <w:rsid w:val="00F95BC9"/>
    <w:rsid w:val="00FA624C"/>
    <w:rsid w:val="00FC749A"/>
    <w:rsid w:val="00FD0FAC"/>
    <w:rsid w:val="00FD1DFA"/>
    <w:rsid w:val="00FD21EE"/>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E6068D"/>
    <w:pPr>
      <w:spacing w:after="0"/>
    </w:pPr>
    <w:rPr>
      <w:sz w:val="20"/>
      <w:szCs w:val="20"/>
    </w:rPr>
  </w:style>
  <w:style w:type="character" w:customStyle="1" w:styleId="FootnoteTextChar">
    <w:name w:val="Footnote Text Char"/>
    <w:basedOn w:val="DefaultParagraphFont"/>
    <w:link w:val="FootnoteText"/>
    <w:rsid w:val="00E6068D"/>
    <w:rPr>
      <w:color w:val="000000"/>
    </w:rPr>
  </w:style>
  <w:style w:type="character" w:styleId="FootnoteReference">
    <w:name w:val="footnote reference"/>
    <w:basedOn w:val="DefaultParagraphFont"/>
    <w:rsid w:val="00E6068D"/>
    <w:rPr>
      <w:vertAlign w:val="superscript"/>
    </w:rPr>
  </w:style>
  <w:style w:type="character" w:styleId="FollowedHyperlink">
    <w:name w:val="FollowedHyperlink"/>
    <w:basedOn w:val="DefaultParagraphFont"/>
    <w:rsid w:val="002B79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E6068D"/>
    <w:pPr>
      <w:spacing w:after="0"/>
    </w:pPr>
    <w:rPr>
      <w:sz w:val="20"/>
      <w:szCs w:val="20"/>
    </w:rPr>
  </w:style>
  <w:style w:type="character" w:customStyle="1" w:styleId="FootnoteTextChar">
    <w:name w:val="Footnote Text Char"/>
    <w:basedOn w:val="DefaultParagraphFont"/>
    <w:link w:val="FootnoteText"/>
    <w:rsid w:val="00E6068D"/>
    <w:rPr>
      <w:color w:val="000000"/>
    </w:rPr>
  </w:style>
  <w:style w:type="character" w:styleId="FootnoteReference">
    <w:name w:val="footnote reference"/>
    <w:basedOn w:val="DefaultParagraphFont"/>
    <w:rsid w:val="00E6068D"/>
    <w:rPr>
      <w:vertAlign w:val="superscript"/>
    </w:rPr>
  </w:style>
  <w:style w:type="character" w:styleId="FollowedHyperlink">
    <w:name w:val="FollowedHyperlink"/>
    <w:basedOn w:val="DefaultParagraphFont"/>
    <w:rsid w:val="002B7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726">
      <w:bodyDiv w:val="1"/>
      <w:marLeft w:val="0"/>
      <w:marRight w:val="0"/>
      <w:marTop w:val="0"/>
      <w:marBottom w:val="0"/>
      <w:divBdr>
        <w:top w:val="none" w:sz="0" w:space="0" w:color="auto"/>
        <w:left w:val="none" w:sz="0" w:space="0" w:color="auto"/>
        <w:bottom w:val="none" w:sz="0" w:space="0" w:color="auto"/>
        <w:right w:val="none" w:sz="0" w:space="0" w:color="auto"/>
      </w:divBdr>
      <w:divsChild>
        <w:div w:id="1468428926">
          <w:marLeft w:val="0"/>
          <w:marRight w:val="0"/>
          <w:marTop w:val="0"/>
          <w:marBottom w:val="0"/>
          <w:divBdr>
            <w:top w:val="none" w:sz="0" w:space="0" w:color="auto"/>
            <w:left w:val="none" w:sz="0" w:space="0" w:color="auto"/>
            <w:bottom w:val="none" w:sz="0" w:space="0" w:color="auto"/>
            <w:right w:val="none" w:sz="0" w:space="0" w:color="auto"/>
          </w:divBdr>
          <w:divsChild>
            <w:div w:id="1738090931">
              <w:marLeft w:val="0"/>
              <w:marRight w:val="0"/>
              <w:marTop w:val="0"/>
              <w:marBottom w:val="0"/>
              <w:divBdr>
                <w:top w:val="none" w:sz="0" w:space="0" w:color="auto"/>
                <w:left w:val="none" w:sz="0" w:space="0" w:color="auto"/>
                <w:bottom w:val="none" w:sz="0" w:space="0" w:color="auto"/>
                <w:right w:val="none" w:sz="0" w:space="0" w:color="auto"/>
              </w:divBdr>
              <w:divsChild>
                <w:div w:id="1826044267">
                  <w:marLeft w:val="0"/>
                  <w:marRight w:val="0"/>
                  <w:marTop w:val="0"/>
                  <w:marBottom w:val="0"/>
                  <w:divBdr>
                    <w:top w:val="none" w:sz="0" w:space="0" w:color="auto"/>
                    <w:left w:val="none" w:sz="0" w:space="0" w:color="auto"/>
                    <w:bottom w:val="none" w:sz="0" w:space="0" w:color="auto"/>
                    <w:right w:val="none" w:sz="0" w:space="0" w:color="auto"/>
                  </w:divBdr>
                  <w:divsChild>
                    <w:div w:id="1137722866">
                      <w:marLeft w:val="0"/>
                      <w:marRight w:val="0"/>
                      <w:marTop w:val="0"/>
                      <w:marBottom w:val="0"/>
                      <w:divBdr>
                        <w:top w:val="none" w:sz="0" w:space="0" w:color="auto"/>
                        <w:left w:val="none" w:sz="0" w:space="0" w:color="auto"/>
                        <w:bottom w:val="none" w:sz="0" w:space="0" w:color="auto"/>
                        <w:right w:val="none" w:sz="0" w:space="0" w:color="auto"/>
                      </w:divBdr>
                      <w:divsChild>
                        <w:div w:id="20821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knight@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F223-58AD-4482-B25E-06976413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18EA880A</Template>
  <TotalTime>37</TotalTime>
  <Pages>3</Pages>
  <Words>1020</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7</cp:revision>
  <cp:lastPrinted>2017-06-19T11:01:00Z</cp:lastPrinted>
  <dcterms:created xsi:type="dcterms:W3CDTF">2017-06-26T12:49:00Z</dcterms:created>
  <dcterms:modified xsi:type="dcterms:W3CDTF">2017-07-20T14:52:00Z</dcterms:modified>
</cp:coreProperties>
</file>